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7C" w:rsidRDefault="0062327C" w:rsidP="0062327C">
      <w:pPr>
        <w:jc w:val="center"/>
        <w:rPr>
          <w:rFonts w:ascii="Maiandra GD" w:hAnsi="Maiandra GD"/>
          <w:sz w:val="72"/>
          <w:szCs w:val="72"/>
        </w:rPr>
      </w:pPr>
      <w:r w:rsidRPr="0062327C">
        <w:rPr>
          <w:rFonts w:ascii="Maiandra GD" w:hAnsi="Maiandra GD"/>
          <w:sz w:val="72"/>
          <w:szCs w:val="72"/>
        </w:rPr>
        <w:t>18</w:t>
      </w:r>
      <w:r w:rsidRPr="0062327C">
        <w:rPr>
          <w:rFonts w:ascii="Maiandra GD" w:hAnsi="Maiandra GD"/>
          <w:sz w:val="72"/>
          <w:szCs w:val="72"/>
          <w:vertAlign w:val="superscript"/>
        </w:rPr>
        <w:t>th</w:t>
      </w:r>
      <w:r w:rsidRPr="0062327C">
        <w:rPr>
          <w:rFonts w:ascii="Maiandra GD" w:hAnsi="Maiandra GD"/>
          <w:sz w:val="72"/>
          <w:szCs w:val="72"/>
        </w:rPr>
        <w:t xml:space="preserve"> Century Architecture</w:t>
      </w:r>
    </w:p>
    <w:tbl>
      <w:tblPr>
        <w:tblStyle w:val="TableGrid"/>
        <w:tblpPr w:leftFromText="180" w:rightFromText="180" w:vertAnchor="text" w:horzAnchor="margin" w:tblpXSpec="center" w:tblpY="370"/>
        <w:tblW w:w="0" w:type="auto"/>
        <w:tblLook w:val="04A0"/>
      </w:tblPr>
      <w:tblGrid>
        <w:gridCol w:w="1859"/>
        <w:gridCol w:w="2010"/>
        <w:gridCol w:w="1995"/>
        <w:gridCol w:w="2119"/>
        <w:gridCol w:w="2028"/>
      </w:tblGrid>
      <w:tr w:rsidR="007774A9" w:rsidTr="007774A9">
        <w:tc>
          <w:tcPr>
            <w:tcW w:w="1859" w:type="dxa"/>
          </w:tcPr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>Renaissance</w:t>
            </w:r>
          </w:p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>Late 17</w:t>
            </w:r>
            <w:r w:rsidRPr="00E66AE0">
              <w:rPr>
                <w:rFonts w:ascii="Maiandra GD" w:hAnsi="Maiandra GD"/>
                <w:b/>
                <w:sz w:val="24"/>
                <w:szCs w:val="24"/>
                <w:vertAlign w:val="superscript"/>
              </w:rPr>
              <w:t>th</w:t>
            </w:r>
            <w:r w:rsidRPr="00E66AE0">
              <w:rPr>
                <w:rFonts w:ascii="Maiandra GD" w:hAnsi="Maiandra GD"/>
                <w:b/>
                <w:sz w:val="24"/>
                <w:szCs w:val="24"/>
              </w:rPr>
              <w:t xml:space="preserve"> Century</w:t>
            </w:r>
          </w:p>
        </w:tc>
        <w:tc>
          <w:tcPr>
            <w:tcW w:w="2010" w:type="dxa"/>
          </w:tcPr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>Baroque</w:t>
            </w:r>
          </w:p>
        </w:tc>
        <w:tc>
          <w:tcPr>
            <w:tcW w:w="1995" w:type="dxa"/>
          </w:tcPr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>Rococo</w:t>
            </w:r>
          </w:p>
        </w:tc>
        <w:tc>
          <w:tcPr>
            <w:tcW w:w="2119" w:type="dxa"/>
          </w:tcPr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 xml:space="preserve">Age of Reason </w:t>
            </w:r>
          </w:p>
        </w:tc>
        <w:tc>
          <w:tcPr>
            <w:tcW w:w="2028" w:type="dxa"/>
          </w:tcPr>
          <w:p w:rsidR="007774A9" w:rsidRPr="00E66AE0" w:rsidRDefault="007774A9" w:rsidP="007774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E66AE0">
              <w:rPr>
                <w:rFonts w:ascii="Maiandra GD" w:hAnsi="Maiandra GD"/>
                <w:b/>
                <w:sz w:val="24"/>
                <w:szCs w:val="24"/>
              </w:rPr>
              <w:t>Romanticism</w:t>
            </w:r>
          </w:p>
        </w:tc>
      </w:tr>
      <w:tr w:rsidR="007774A9" w:rsidTr="007774A9">
        <w:tc>
          <w:tcPr>
            <w:tcW w:w="185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Intellectual</w:t>
            </w:r>
          </w:p>
        </w:tc>
        <w:tc>
          <w:tcPr>
            <w:tcW w:w="2010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Emotional </w:t>
            </w:r>
          </w:p>
        </w:tc>
        <w:tc>
          <w:tcPr>
            <w:tcW w:w="1995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Delicate</w:t>
            </w:r>
          </w:p>
        </w:tc>
        <w:tc>
          <w:tcPr>
            <w:tcW w:w="211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Old  soul</w:t>
            </w:r>
          </w:p>
        </w:tc>
        <w:tc>
          <w:tcPr>
            <w:tcW w:w="2028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Bliss and Glory</w:t>
            </w:r>
          </w:p>
        </w:tc>
      </w:tr>
      <w:tr w:rsidR="007774A9" w:rsidTr="007774A9">
        <w:tc>
          <w:tcPr>
            <w:tcW w:w="185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Simple, Clear Uniform</w:t>
            </w:r>
          </w:p>
        </w:tc>
        <w:tc>
          <w:tcPr>
            <w:tcW w:w="2010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Complex, mysterious, overwhelming</w:t>
            </w:r>
          </w:p>
        </w:tc>
        <w:tc>
          <w:tcPr>
            <w:tcW w:w="1995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Unisono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>- holistic blending of multiple arts</w:t>
            </w:r>
          </w:p>
        </w:tc>
        <w:tc>
          <w:tcPr>
            <w:tcW w:w="211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Volatile, no standards of taste, pastiche of the past, Revival Modes</w:t>
            </w:r>
          </w:p>
        </w:tc>
        <w:tc>
          <w:tcPr>
            <w:tcW w:w="2028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Eccentric rooms, large, natural English Gardens, landscape and building were an integrated whole. </w:t>
            </w:r>
          </w:p>
        </w:tc>
      </w:tr>
      <w:tr w:rsidR="007774A9" w:rsidTr="007774A9">
        <w:tc>
          <w:tcPr>
            <w:tcW w:w="185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Flat, regular units repeated</w:t>
            </w:r>
          </w:p>
        </w:tc>
        <w:tc>
          <w:tcPr>
            <w:tcW w:w="2010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Irregular surfaces, </w:t>
            </w:r>
          </w:p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>
              <w:rPr>
                <w:rFonts w:ascii="Maiandra GD" w:hAnsi="Maiandra GD"/>
                <w:sz w:val="24"/>
                <w:szCs w:val="24"/>
              </w:rPr>
              <w:t>zig</w:t>
            </w:r>
            <w:proofErr w:type="spellEnd"/>
            <w:r>
              <w:rPr>
                <w:rFonts w:ascii="Maiandra GD" w:hAnsi="Maiandra GD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Maiandra GD" w:hAnsi="Maiandra GD"/>
                <w:sz w:val="24"/>
                <w:szCs w:val="24"/>
              </w:rPr>
              <w:t>zag</w:t>
            </w:r>
            <w:proofErr w:type="spellEnd"/>
          </w:p>
        </w:tc>
        <w:tc>
          <w:tcPr>
            <w:tcW w:w="1995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Melodramatic lighting, illusory spaces</w:t>
            </w:r>
          </w:p>
        </w:tc>
        <w:tc>
          <w:tcPr>
            <w:tcW w:w="211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Opulence became passé, austere style, no symmetry  </w:t>
            </w:r>
          </w:p>
        </w:tc>
        <w:tc>
          <w:tcPr>
            <w:tcW w:w="2028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Richly carved and lavishly gilded entries, modest elegance</w:t>
            </w:r>
          </w:p>
        </w:tc>
      </w:tr>
      <w:tr w:rsidR="007774A9" w:rsidTr="007774A9">
        <w:tc>
          <w:tcPr>
            <w:tcW w:w="185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Pleasing to the eye and the ennoble mind</w:t>
            </w:r>
          </w:p>
        </w:tc>
        <w:tc>
          <w:tcPr>
            <w:tcW w:w="2010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Sensual blending of painting, sculpture and architecture</w:t>
            </w:r>
          </w:p>
        </w:tc>
        <w:tc>
          <w:tcPr>
            <w:tcW w:w="1995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White and pink color scheme, confectionary </w:t>
            </w:r>
          </w:p>
        </w:tc>
        <w:tc>
          <w:tcPr>
            <w:tcW w:w="211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Pensive and inspiring, no coherent standards, new pluralism that still exists today </w:t>
            </w:r>
          </w:p>
        </w:tc>
        <w:tc>
          <w:tcPr>
            <w:tcW w:w="2028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Freedom of diversity to adopt ancient styles, highly ornamented, </w:t>
            </w:r>
          </w:p>
        </w:tc>
      </w:tr>
      <w:tr w:rsidR="007774A9" w:rsidTr="007774A9">
        <w:tc>
          <w:tcPr>
            <w:tcW w:w="185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Interior designed like a sculpture</w:t>
            </w:r>
          </w:p>
        </w:tc>
        <w:tc>
          <w:tcPr>
            <w:tcW w:w="2010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Theatrical, highly decorated, monumental </w:t>
            </w:r>
          </w:p>
        </w:tc>
        <w:tc>
          <w:tcPr>
            <w:tcW w:w="1995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Theatrical, frivolity, orderly, excessive surface decoration </w:t>
            </w:r>
          </w:p>
        </w:tc>
        <w:tc>
          <w:tcPr>
            <w:tcW w:w="2119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Reverence of reason, sensibility and beneficent effects,</w:t>
            </w:r>
          </w:p>
        </w:tc>
        <w:tc>
          <w:tcPr>
            <w:tcW w:w="2028" w:type="dxa"/>
          </w:tcPr>
          <w:p w:rsidR="007774A9" w:rsidRDefault="007774A9" w:rsidP="007774A9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Historical accuracy,</w:t>
            </w:r>
            <w:r w:rsidR="00E66AE0">
              <w:rPr>
                <w:rFonts w:ascii="Maiandra GD" w:hAnsi="Maiandra GD"/>
                <w:sz w:val="24"/>
                <w:szCs w:val="24"/>
              </w:rPr>
              <w:t xml:space="preserve"> variety and beauty, Exterior plain</w:t>
            </w:r>
            <w:r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</w:tc>
      </w:tr>
    </w:tbl>
    <w:p w:rsidR="0062327C" w:rsidRDefault="0062327C" w:rsidP="00554EA7">
      <w:pPr>
        <w:rPr>
          <w:rFonts w:ascii="Maiandra GD" w:hAnsi="Maiandra GD"/>
          <w:sz w:val="24"/>
          <w:szCs w:val="24"/>
        </w:rPr>
      </w:pPr>
    </w:p>
    <w:p w:rsidR="00E66AE0" w:rsidRDefault="00E66AE0" w:rsidP="00554EA7">
      <w:pPr>
        <w:rPr>
          <w:rFonts w:ascii="Maiandra GD" w:hAnsi="Maiandra GD"/>
          <w:sz w:val="24"/>
          <w:szCs w:val="24"/>
        </w:rPr>
      </w:pPr>
    </w:p>
    <w:p w:rsidR="00E66AE0" w:rsidRDefault="00E66AE0" w:rsidP="00554EA7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Find two examples of each with architect and date.</w:t>
      </w:r>
    </w:p>
    <w:p w:rsidR="00E66AE0" w:rsidRDefault="00E66AE0" w:rsidP="00554EA7">
      <w:pPr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855"/>
        <w:gridCol w:w="1845"/>
        <w:gridCol w:w="1710"/>
        <w:gridCol w:w="1800"/>
        <w:gridCol w:w="2205"/>
        <w:gridCol w:w="1845"/>
      </w:tblGrid>
      <w:tr w:rsidR="00E66AE0" w:rsidTr="00E66AE0">
        <w:tc>
          <w:tcPr>
            <w:tcW w:w="85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Late 17th Century</w:t>
            </w:r>
          </w:p>
        </w:tc>
        <w:tc>
          <w:tcPr>
            <w:tcW w:w="171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Baroque</w:t>
            </w:r>
          </w:p>
        </w:tc>
        <w:tc>
          <w:tcPr>
            <w:tcW w:w="180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Rococo</w:t>
            </w:r>
          </w:p>
        </w:tc>
        <w:tc>
          <w:tcPr>
            <w:tcW w:w="220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Age of Reason</w:t>
            </w: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 xml:space="preserve">Romanticism </w:t>
            </w:r>
          </w:p>
        </w:tc>
      </w:tr>
      <w:tr w:rsidR="00E66AE0" w:rsidTr="00E66AE0">
        <w:tc>
          <w:tcPr>
            <w:tcW w:w="85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#1</w:t>
            </w: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71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0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20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E66AE0" w:rsidTr="00E66AE0">
        <w:tc>
          <w:tcPr>
            <w:tcW w:w="85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#2</w:t>
            </w: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71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00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20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845" w:type="dxa"/>
          </w:tcPr>
          <w:p w:rsidR="00E66AE0" w:rsidRDefault="00E66AE0" w:rsidP="00554EA7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554EA7" w:rsidRDefault="00554EA7" w:rsidP="00554EA7">
      <w:pPr>
        <w:rPr>
          <w:rFonts w:ascii="Maiandra GD" w:hAnsi="Maiandra GD"/>
          <w:sz w:val="24"/>
          <w:szCs w:val="24"/>
        </w:rPr>
      </w:pPr>
    </w:p>
    <w:sectPr w:rsidR="00554EA7" w:rsidSect="00646704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58" w:rsidRDefault="007E7658" w:rsidP="00FD2DDA">
      <w:r>
        <w:separator/>
      </w:r>
    </w:p>
  </w:endnote>
  <w:endnote w:type="continuationSeparator" w:id="0">
    <w:p w:rsidR="007E7658" w:rsidRDefault="007E7658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58" w:rsidRDefault="007E7658" w:rsidP="00FD2DDA">
      <w:r>
        <w:separator/>
      </w:r>
    </w:p>
  </w:footnote>
  <w:footnote w:type="continuationSeparator" w:id="0">
    <w:p w:rsidR="007E7658" w:rsidRDefault="007E7658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132B4B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1"/>
  </w:num>
  <w:num w:numId="8">
    <w:abstractNumId w:val="3"/>
  </w:num>
  <w:num w:numId="9">
    <w:abstractNumId w:val="16"/>
  </w:num>
  <w:num w:numId="10">
    <w:abstractNumId w:val="0"/>
  </w:num>
  <w:num w:numId="11">
    <w:abstractNumId w:val="10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0F0D68"/>
    <w:rsid w:val="00126928"/>
    <w:rsid w:val="00132B4B"/>
    <w:rsid w:val="00166955"/>
    <w:rsid w:val="001854B2"/>
    <w:rsid w:val="002148E3"/>
    <w:rsid w:val="002313F4"/>
    <w:rsid w:val="00245B33"/>
    <w:rsid w:val="002619FC"/>
    <w:rsid w:val="002D2BEB"/>
    <w:rsid w:val="00405A23"/>
    <w:rsid w:val="004061E2"/>
    <w:rsid w:val="00414E4B"/>
    <w:rsid w:val="00440E9B"/>
    <w:rsid w:val="00441BDA"/>
    <w:rsid w:val="004B21DF"/>
    <w:rsid w:val="004F282D"/>
    <w:rsid w:val="005436DD"/>
    <w:rsid w:val="00550BF3"/>
    <w:rsid w:val="00554EA7"/>
    <w:rsid w:val="005B6CE7"/>
    <w:rsid w:val="0062327C"/>
    <w:rsid w:val="00646704"/>
    <w:rsid w:val="006D1302"/>
    <w:rsid w:val="006F5BFB"/>
    <w:rsid w:val="006F5FF4"/>
    <w:rsid w:val="0073798C"/>
    <w:rsid w:val="007774A9"/>
    <w:rsid w:val="00795ED8"/>
    <w:rsid w:val="007E7658"/>
    <w:rsid w:val="007F6359"/>
    <w:rsid w:val="00860406"/>
    <w:rsid w:val="008856D1"/>
    <w:rsid w:val="008B2C49"/>
    <w:rsid w:val="00957D5F"/>
    <w:rsid w:val="00981E9A"/>
    <w:rsid w:val="00992AB3"/>
    <w:rsid w:val="00A548E6"/>
    <w:rsid w:val="00A60F52"/>
    <w:rsid w:val="00B41AE0"/>
    <w:rsid w:val="00BA33B3"/>
    <w:rsid w:val="00BA5398"/>
    <w:rsid w:val="00BD2B36"/>
    <w:rsid w:val="00C077A0"/>
    <w:rsid w:val="00C44C31"/>
    <w:rsid w:val="00C93596"/>
    <w:rsid w:val="00CE2B25"/>
    <w:rsid w:val="00CE7609"/>
    <w:rsid w:val="00CF3B61"/>
    <w:rsid w:val="00D34010"/>
    <w:rsid w:val="00DB1287"/>
    <w:rsid w:val="00E66AE0"/>
    <w:rsid w:val="00E70BA9"/>
    <w:rsid w:val="00EE1EB0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81213"/>
    <w:rsid w:val="001C3729"/>
    <w:rsid w:val="002A288F"/>
    <w:rsid w:val="003A3057"/>
    <w:rsid w:val="004957F3"/>
    <w:rsid w:val="00602B10"/>
    <w:rsid w:val="007A30B2"/>
    <w:rsid w:val="007F6CF0"/>
    <w:rsid w:val="00970887"/>
    <w:rsid w:val="00C82B09"/>
    <w:rsid w:val="00DA3B3B"/>
    <w:rsid w:val="00E8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3</cp:revision>
  <dcterms:created xsi:type="dcterms:W3CDTF">2011-03-20T20:23:00Z</dcterms:created>
  <dcterms:modified xsi:type="dcterms:W3CDTF">2011-03-20T21:13:00Z</dcterms:modified>
</cp:coreProperties>
</file>