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461" w:rsidRDefault="00501461" w:rsidP="003A4A78">
      <w:pPr>
        <w:rPr>
          <w:rFonts w:ascii="Maiandra GD" w:hAnsi="Maiandra GD"/>
          <w:szCs w:val="24"/>
        </w:rPr>
      </w:pPr>
    </w:p>
    <w:p w:rsidR="00501461" w:rsidRDefault="00501461" w:rsidP="00501461">
      <w:pPr>
        <w:jc w:val="center"/>
        <w:rPr>
          <w:rFonts w:ascii="Maiandra GD" w:hAnsi="Maiandra GD"/>
          <w:b/>
          <w:sz w:val="32"/>
          <w:szCs w:val="32"/>
          <w:u w:val="single"/>
        </w:rPr>
      </w:pPr>
      <w:r w:rsidRPr="00501461">
        <w:rPr>
          <w:rFonts w:ascii="Maiandra GD" w:hAnsi="Maiandra GD"/>
          <w:b/>
          <w:sz w:val="32"/>
          <w:szCs w:val="32"/>
          <w:u w:val="single"/>
        </w:rPr>
        <w:t>Cennino Cennini on Imitation and Emulation in Renaissance Art</w:t>
      </w:r>
    </w:p>
    <w:p w:rsidR="00501461" w:rsidRDefault="00501461" w:rsidP="00501461">
      <w:pPr>
        <w:rPr>
          <w:rFonts w:ascii="Maiandra GD" w:hAnsi="Maiandra GD"/>
          <w:sz w:val="24"/>
          <w:szCs w:val="24"/>
        </w:rPr>
      </w:pPr>
    </w:p>
    <w:p w:rsidR="00501461" w:rsidRPr="00731F7A" w:rsidRDefault="00501461" w:rsidP="00501461">
      <w:pPr>
        <w:rPr>
          <w:rFonts w:ascii="Maiandra GD" w:hAnsi="Maiandra GD"/>
        </w:rPr>
      </w:pPr>
      <w:r w:rsidRPr="00731F7A">
        <w:rPr>
          <w:rFonts w:ascii="Maiandra GD" w:hAnsi="Maiandra GD"/>
        </w:rPr>
        <w:t xml:space="preserve">The familiar premium that contemporary Western Society places on artistic originality is actually a fairly recent phenomenon. Among the concepts Renaissance artists most valued were imitation and emulation. Although many Renaissance artists did develop unique, recognizable styles, convention in terms of both subject matter and representational practices, predominated. In a review of Italian Renaissance art certain themes, motifs, and compositions surface with great </w:t>
      </w:r>
      <w:r w:rsidR="002F3931" w:rsidRPr="00731F7A">
        <w:rPr>
          <w:rFonts w:ascii="Maiandra GD" w:hAnsi="Maiandra GD"/>
        </w:rPr>
        <w:t>regularity</w:t>
      </w:r>
      <w:r w:rsidRPr="00731F7A">
        <w:rPr>
          <w:rFonts w:ascii="Maiandra GD" w:hAnsi="Maiandra GD"/>
        </w:rPr>
        <w:t xml:space="preserve"> and the traditional training practices reveal the importance of imitation and emulation to aspiring Renaissance artists.</w:t>
      </w:r>
    </w:p>
    <w:p w:rsidR="00501461" w:rsidRPr="00731F7A" w:rsidRDefault="00501461" w:rsidP="00501461">
      <w:pPr>
        <w:rPr>
          <w:rFonts w:ascii="Maiandra GD" w:hAnsi="Maiandra GD"/>
        </w:rPr>
      </w:pPr>
    </w:p>
    <w:p w:rsidR="00501461" w:rsidRPr="00731F7A" w:rsidRDefault="00501461" w:rsidP="00501461">
      <w:pPr>
        <w:rPr>
          <w:rFonts w:ascii="Maiandra GD" w:hAnsi="Maiandra GD"/>
        </w:rPr>
      </w:pPr>
      <w:r w:rsidRPr="00731F7A">
        <w:rPr>
          <w:rFonts w:ascii="Maiandra GD" w:hAnsi="Maiandra GD"/>
          <w:b/>
          <w:i/>
        </w:rPr>
        <w:t>Imitation</w:t>
      </w:r>
      <w:r w:rsidRPr="00731F7A">
        <w:rPr>
          <w:rFonts w:ascii="Maiandra GD" w:hAnsi="Maiandra GD"/>
        </w:rPr>
        <w:t xml:space="preserve"> was the starting point in a young artist’s training. Italian renaissance artists believed that the best way to learn was to copy the works of masters. Accordingly much of an apprentice’s training consisted of copying exemplary artworks. Leonardo da Vinci filled his sketchbooks with drawings of well-known sculptures and frescoes, and Michelangelo spent days sketching artworks in churches and around Florence and Rome.</w:t>
      </w:r>
    </w:p>
    <w:p w:rsidR="00501461" w:rsidRPr="00731F7A" w:rsidRDefault="00501461" w:rsidP="00501461">
      <w:pPr>
        <w:rPr>
          <w:rFonts w:ascii="Maiandra GD" w:hAnsi="Maiandra GD"/>
        </w:rPr>
      </w:pPr>
    </w:p>
    <w:p w:rsidR="00501461" w:rsidRPr="00731F7A" w:rsidRDefault="00501461" w:rsidP="00501461">
      <w:pPr>
        <w:rPr>
          <w:rFonts w:ascii="Maiandra GD" w:hAnsi="Maiandra GD"/>
        </w:rPr>
      </w:pPr>
      <w:r w:rsidRPr="00731F7A">
        <w:rPr>
          <w:rFonts w:ascii="Maiandra GD" w:hAnsi="Maiandra GD"/>
          <w:b/>
          <w:i/>
        </w:rPr>
        <w:t>Emulation</w:t>
      </w:r>
      <w:r w:rsidRPr="00731F7A">
        <w:rPr>
          <w:rFonts w:ascii="Maiandra GD" w:hAnsi="Maiandra GD"/>
        </w:rPr>
        <w:t xml:space="preserve"> was the next step, which involved modeling one’s art after that of another artist. Although imitation still provided the foundation for this practice, an artist used </w:t>
      </w:r>
      <w:r w:rsidR="0025150A" w:rsidRPr="00731F7A">
        <w:rPr>
          <w:rFonts w:ascii="Maiandra GD" w:hAnsi="Maiandra GD"/>
        </w:rPr>
        <w:t>features</w:t>
      </w:r>
      <w:r w:rsidRPr="00731F7A">
        <w:rPr>
          <w:rFonts w:ascii="Maiandra GD" w:hAnsi="Maiandra GD"/>
        </w:rPr>
        <w:t xml:space="preserve"> of another’s art only as a springboard for improvements or innovations. Thus, developing artists went beyond previous artists and attempted to prove their own </w:t>
      </w:r>
      <w:r w:rsidR="0025150A" w:rsidRPr="00731F7A">
        <w:rPr>
          <w:rFonts w:ascii="Maiandra GD" w:hAnsi="Maiandra GD"/>
        </w:rPr>
        <w:t>competence</w:t>
      </w:r>
      <w:r w:rsidRPr="00731F7A">
        <w:rPr>
          <w:rFonts w:ascii="Maiandra GD" w:hAnsi="Maiandra GD"/>
        </w:rPr>
        <w:t xml:space="preserve"> and skill by </w:t>
      </w:r>
      <w:r w:rsidR="0025150A" w:rsidRPr="00731F7A">
        <w:rPr>
          <w:rFonts w:ascii="Maiandra GD" w:hAnsi="Maiandra GD"/>
        </w:rPr>
        <w:t>improving</w:t>
      </w:r>
      <w:r w:rsidRPr="00731F7A">
        <w:rPr>
          <w:rFonts w:ascii="Maiandra GD" w:hAnsi="Maiandra GD"/>
        </w:rPr>
        <w:t xml:space="preserve"> on established and recognized masters. Comparison and a degree of competition were integral to emulation. To evaluate the “</w:t>
      </w:r>
      <w:r w:rsidR="0025150A" w:rsidRPr="00731F7A">
        <w:rPr>
          <w:rFonts w:ascii="Maiandra GD" w:hAnsi="Maiandra GD"/>
        </w:rPr>
        <w:t>improved</w:t>
      </w:r>
      <w:r w:rsidRPr="00731F7A">
        <w:rPr>
          <w:rFonts w:ascii="Maiandra GD" w:hAnsi="Maiandra GD"/>
        </w:rPr>
        <w:t xml:space="preserve">” artwork, viewers had to know the original </w:t>
      </w:r>
      <w:r w:rsidR="0025150A" w:rsidRPr="00731F7A">
        <w:rPr>
          <w:rFonts w:ascii="Maiandra GD" w:hAnsi="Maiandra GD"/>
        </w:rPr>
        <w:t>“model.”</w:t>
      </w:r>
    </w:p>
    <w:p w:rsidR="0025150A" w:rsidRPr="00731F7A" w:rsidRDefault="0025150A" w:rsidP="00501461">
      <w:pPr>
        <w:rPr>
          <w:rFonts w:ascii="Maiandra GD" w:hAnsi="Maiandra GD"/>
        </w:rPr>
      </w:pPr>
    </w:p>
    <w:p w:rsidR="0025150A" w:rsidRPr="00731F7A" w:rsidRDefault="0025150A" w:rsidP="00501461">
      <w:pPr>
        <w:rPr>
          <w:rFonts w:ascii="Maiandra GD" w:hAnsi="Maiandra GD"/>
        </w:rPr>
      </w:pPr>
      <w:r w:rsidRPr="00731F7A">
        <w:rPr>
          <w:rFonts w:ascii="Maiandra GD" w:hAnsi="Maiandra GD"/>
        </w:rPr>
        <w:t xml:space="preserve">Renaissance artist believed that developing artists would ultimately arrive at their own unique style through this process of imitation and emulation. Cennino Cennini (c. 1370-1440) explained the value of this training procedure in a book he published in 1400, </w:t>
      </w:r>
      <w:r w:rsidRPr="00731F7A">
        <w:rPr>
          <w:rFonts w:ascii="Maiandra GD" w:hAnsi="Maiandra GD"/>
          <w:i/>
        </w:rPr>
        <w:t xml:space="preserve">Il </w:t>
      </w:r>
      <w:proofErr w:type="spellStart"/>
      <w:r w:rsidRPr="00731F7A">
        <w:rPr>
          <w:rFonts w:ascii="Maiandra GD" w:hAnsi="Maiandra GD"/>
          <w:i/>
        </w:rPr>
        <w:t>Libro</w:t>
      </w:r>
      <w:proofErr w:type="spellEnd"/>
      <w:r w:rsidRPr="00731F7A">
        <w:rPr>
          <w:rFonts w:ascii="Maiandra GD" w:hAnsi="Maiandra GD"/>
          <w:i/>
        </w:rPr>
        <w:t xml:space="preserve"> </w:t>
      </w:r>
      <w:proofErr w:type="spellStart"/>
      <w:r w:rsidRPr="00731F7A">
        <w:rPr>
          <w:rFonts w:ascii="Maiandra GD" w:hAnsi="Maiandra GD"/>
          <w:i/>
        </w:rPr>
        <w:t>dell’Artes</w:t>
      </w:r>
      <w:proofErr w:type="spellEnd"/>
      <w:r w:rsidRPr="00731F7A">
        <w:rPr>
          <w:rFonts w:ascii="Maiandra GD" w:hAnsi="Maiandra GD"/>
        </w:rPr>
        <w:t xml:space="preserve"> (The Artist’s </w:t>
      </w:r>
      <w:proofErr w:type="gramStart"/>
      <w:r w:rsidRPr="00731F7A">
        <w:rPr>
          <w:rFonts w:ascii="Maiandra GD" w:hAnsi="Maiandra GD"/>
        </w:rPr>
        <w:t>Handbook )</w:t>
      </w:r>
      <w:proofErr w:type="gramEnd"/>
      <w:r w:rsidRPr="00731F7A">
        <w:rPr>
          <w:rFonts w:ascii="Maiandra GD" w:hAnsi="Maiandra GD"/>
        </w:rPr>
        <w:t>,</w:t>
      </w:r>
    </w:p>
    <w:p w:rsidR="0025150A" w:rsidRPr="00731F7A" w:rsidRDefault="0025150A" w:rsidP="00501461">
      <w:pPr>
        <w:rPr>
          <w:rFonts w:ascii="Maiandra GD" w:hAnsi="Maiandra GD"/>
        </w:rPr>
      </w:pPr>
      <w:proofErr w:type="gramStart"/>
      <w:r w:rsidRPr="00731F7A">
        <w:rPr>
          <w:rFonts w:ascii="Maiandra GD" w:hAnsi="Maiandra GD"/>
        </w:rPr>
        <w:t>Which served as a practical guide to producing art:</w:t>
      </w:r>
      <w:proofErr w:type="gramEnd"/>
    </w:p>
    <w:p w:rsidR="0025150A" w:rsidRPr="00731F7A" w:rsidRDefault="0025150A" w:rsidP="00501461">
      <w:pPr>
        <w:rPr>
          <w:rFonts w:ascii="Maiandra GD" w:hAnsi="Maiandra GD"/>
        </w:rPr>
      </w:pPr>
      <w:r w:rsidRPr="00731F7A">
        <w:rPr>
          <w:rFonts w:ascii="Maiandra GD" w:hAnsi="Maiandra GD"/>
        </w:rPr>
        <w:t xml:space="preserve"> </w:t>
      </w:r>
    </w:p>
    <w:p w:rsidR="00731F7A" w:rsidRPr="00731F7A" w:rsidRDefault="0025150A" w:rsidP="00501461">
      <w:pPr>
        <w:rPr>
          <w:rFonts w:ascii="Maiandra GD" w:hAnsi="Maiandra GD"/>
        </w:rPr>
      </w:pPr>
      <w:r w:rsidRPr="00731F7A">
        <w:rPr>
          <w:rFonts w:ascii="Maiandra GD" w:hAnsi="Maiandra GD"/>
        </w:rPr>
        <w:t>Having first practiced drawing for a while</w:t>
      </w:r>
      <w:proofErr w:type="gramStart"/>
      <w:r w:rsidRPr="00731F7A">
        <w:rPr>
          <w:rFonts w:ascii="Maiandra GD" w:hAnsi="Maiandra GD"/>
        </w:rPr>
        <w:t>,…</w:t>
      </w:r>
      <w:proofErr w:type="gramEnd"/>
      <w:r w:rsidRPr="00731F7A">
        <w:rPr>
          <w:rFonts w:ascii="Maiandra GD" w:hAnsi="Maiandra GD"/>
        </w:rPr>
        <w:t xml:space="preserve"> take pains and pleasure in constantly copying the best things which you can find done by the hand of great masters. </w:t>
      </w:r>
      <w:proofErr w:type="gramStart"/>
      <w:r w:rsidRPr="00731F7A">
        <w:rPr>
          <w:rFonts w:ascii="Maiandra GD" w:hAnsi="Maiandra GD"/>
        </w:rPr>
        <w:t>And if you are in a place where many good masters have been, so much the better for you.</w:t>
      </w:r>
      <w:proofErr w:type="gramEnd"/>
      <w:r w:rsidRPr="00731F7A">
        <w:rPr>
          <w:rFonts w:ascii="Maiandra GD" w:hAnsi="Maiandra GD"/>
        </w:rPr>
        <w:t xml:space="preserve"> But I give you this advice; take care to select the best on every time, and the one who has the greatest reputation. And, as you go on from day to day, it will be against nature if you do not get some grasp on his style and of his spirit. For if you undertake to copy after one master today and after another one tomorrow, you will not acquire the style of either one or the other, and you will inevitably, through enthusiasm, become capricious, because e</w:t>
      </w:r>
      <w:r w:rsidR="00731F7A" w:rsidRPr="00731F7A">
        <w:rPr>
          <w:rFonts w:ascii="Maiandra GD" w:hAnsi="Maiandra GD"/>
        </w:rPr>
        <w:t>ach style will be distracting y</w:t>
      </w:r>
      <w:r w:rsidRPr="00731F7A">
        <w:rPr>
          <w:rFonts w:ascii="Maiandra GD" w:hAnsi="Maiandra GD"/>
        </w:rPr>
        <w:t xml:space="preserve">our mind. You will try to work in this man’s way </w:t>
      </w:r>
      <w:r w:rsidR="00731F7A" w:rsidRPr="00731F7A">
        <w:rPr>
          <w:rFonts w:ascii="Maiandra GD" w:hAnsi="Maiandra GD"/>
        </w:rPr>
        <w:t>today</w:t>
      </w:r>
      <w:r w:rsidRPr="00731F7A">
        <w:rPr>
          <w:rFonts w:ascii="Maiandra GD" w:hAnsi="Maiandra GD"/>
        </w:rPr>
        <w:t xml:space="preserve"> and in the other’s tomorrow, and so you will not get either of them right. If you follow the course of one man through constant practice, your intelligence wou</w:t>
      </w:r>
      <w:r w:rsidR="00731F7A" w:rsidRPr="00731F7A">
        <w:rPr>
          <w:rFonts w:ascii="Maiandra GD" w:hAnsi="Maiandra GD"/>
        </w:rPr>
        <w:t xml:space="preserve">ld have to be crude indeed for </w:t>
      </w:r>
      <w:r w:rsidRPr="00731F7A">
        <w:rPr>
          <w:rFonts w:ascii="Maiandra GD" w:hAnsi="Maiandra GD"/>
        </w:rPr>
        <w:t xml:space="preserve">you </w:t>
      </w:r>
      <w:r w:rsidR="00731F7A" w:rsidRPr="00731F7A">
        <w:rPr>
          <w:rFonts w:ascii="Maiandra GD" w:hAnsi="Maiandra GD"/>
        </w:rPr>
        <w:t xml:space="preserve">do </w:t>
      </w:r>
      <w:r w:rsidRPr="00731F7A">
        <w:rPr>
          <w:rFonts w:ascii="Maiandra GD" w:hAnsi="Maiandra GD"/>
        </w:rPr>
        <w:t xml:space="preserve">not to get some </w:t>
      </w:r>
      <w:r w:rsidR="00731F7A" w:rsidRPr="00731F7A">
        <w:rPr>
          <w:rFonts w:ascii="Maiandra GD" w:hAnsi="Maiandra GD"/>
        </w:rPr>
        <w:t>nourishment from it.  Then you will find</w:t>
      </w:r>
      <w:r w:rsidRPr="00731F7A">
        <w:rPr>
          <w:rFonts w:ascii="Maiandra GD" w:hAnsi="Maiandra GD"/>
        </w:rPr>
        <w:t xml:space="preserve"> if nature has granted you any imagination at all that</w:t>
      </w:r>
      <w:r w:rsidR="00731F7A" w:rsidRPr="00731F7A">
        <w:rPr>
          <w:rFonts w:ascii="Maiandra GD" w:hAnsi="Maiandra GD"/>
        </w:rPr>
        <w:t xml:space="preserve"> that you will eventually acquire a style individual to yourself, and it cannot help being good; because your hand and your mind, being always accustomed to gather flowers, would ill know how to pluck thorns.*</w:t>
      </w:r>
    </w:p>
    <w:p w:rsidR="00731F7A" w:rsidRPr="00731F7A" w:rsidRDefault="00731F7A" w:rsidP="00501461">
      <w:pPr>
        <w:rPr>
          <w:rFonts w:ascii="Maiandra GD" w:hAnsi="Maiandra GD"/>
        </w:rPr>
      </w:pPr>
    </w:p>
    <w:p w:rsidR="00731F7A" w:rsidRDefault="002F3931" w:rsidP="00731F7A">
      <w:pPr>
        <w:rPr>
          <w:rFonts w:ascii="Maiandra GD" w:hAnsi="Maiandra GD"/>
        </w:rPr>
      </w:pPr>
      <w:r>
        <w:rPr>
          <w:rFonts w:ascii="Maiandra GD" w:hAnsi="Maiandra GD"/>
        </w:rPr>
        <w:t>*</w:t>
      </w:r>
      <w:proofErr w:type="spellStart"/>
      <w:r w:rsidR="00731F7A" w:rsidRPr="00731F7A">
        <w:rPr>
          <w:rFonts w:ascii="Maiandra GD" w:hAnsi="Maiandra GD"/>
        </w:rPr>
        <w:t>Kleiner</w:t>
      </w:r>
      <w:proofErr w:type="spellEnd"/>
      <w:r w:rsidR="00731F7A" w:rsidRPr="00731F7A">
        <w:rPr>
          <w:rFonts w:ascii="Maiandra GD" w:hAnsi="Maiandra GD"/>
        </w:rPr>
        <w:t>, Fred</w:t>
      </w:r>
      <w:r w:rsidR="00731F7A" w:rsidRPr="00731F7A">
        <w:rPr>
          <w:rFonts w:ascii="Maiandra GD" w:hAnsi="Maiandra GD"/>
          <w:i/>
        </w:rPr>
        <w:t xml:space="preserve">. Gardner’s Art </w:t>
      </w:r>
      <w:proofErr w:type="gramStart"/>
      <w:r w:rsidR="00731F7A" w:rsidRPr="00731F7A">
        <w:rPr>
          <w:rFonts w:ascii="Maiandra GD" w:hAnsi="Maiandra GD"/>
          <w:i/>
        </w:rPr>
        <w:t>Through</w:t>
      </w:r>
      <w:proofErr w:type="gramEnd"/>
      <w:r w:rsidR="00731F7A" w:rsidRPr="00731F7A">
        <w:rPr>
          <w:rFonts w:ascii="Maiandra GD" w:hAnsi="Maiandra GD"/>
          <w:i/>
        </w:rPr>
        <w:t xml:space="preserve"> the Ages</w:t>
      </w:r>
      <w:r w:rsidR="00731F7A" w:rsidRPr="00731F7A">
        <w:rPr>
          <w:rFonts w:ascii="Maiandra GD" w:hAnsi="Maiandra GD"/>
        </w:rPr>
        <w:t xml:space="preserve">. </w:t>
      </w:r>
      <w:proofErr w:type="gramStart"/>
      <w:r w:rsidR="00731F7A" w:rsidRPr="00731F7A">
        <w:rPr>
          <w:rFonts w:ascii="Maiandra GD" w:hAnsi="Maiandra GD"/>
        </w:rPr>
        <w:t>“Italy 15</w:t>
      </w:r>
      <w:r w:rsidR="00731F7A" w:rsidRPr="00731F7A">
        <w:rPr>
          <w:rFonts w:ascii="Maiandra GD" w:hAnsi="Maiandra GD"/>
          <w:vertAlign w:val="superscript"/>
        </w:rPr>
        <w:t>th</w:t>
      </w:r>
      <w:r w:rsidR="00731F7A" w:rsidRPr="00731F7A">
        <w:rPr>
          <w:rFonts w:ascii="Maiandra GD" w:hAnsi="Maiandra GD"/>
        </w:rPr>
        <w:t xml:space="preserve"> and 16</w:t>
      </w:r>
      <w:r w:rsidR="00731F7A" w:rsidRPr="00731F7A">
        <w:rPr>
          <w:rFonts w:ascii="Maiandra GD" w:hAnsi="Maiandra GD"/>
          <w:vertAlign w:val="superscript"/>
        </w:rPr>
        <w:t>th</w:t>
      </w:r>
      <w:r w:rsidR="00731F7A" w:rsidRPr="00731F7A">
        <w:rPr>
          <w:rFonts w:ascii="Maiandra GD" w:hAnsi="Maiandra GD"/>
        </w:rPr>
        <w:t xml:space="preserve"> Century Art.”</w:t>
      </w:r>
      <w:proofErr w:type="gramEnd"/>
      <w:r w:rsidR="00731F7A" w:rsidRPr="00731F7A">
        <w:rPr>
          <w:rFonts w:ascii="Maiandra GD" w:hAnsi="Maiandra GD"/>
        </w:rPr>
        <w:t xml:space="preserve"> Wadsworth, </w:t>
      </w:r>
      <w:proofErr w:type="spellStart"/>
      <w:r w:rsidR="00731F7A" w:rsidRPr="00731F7A">
        <w:rPr>
          <w:rFonts w:ascii="Maiandra GD" w:hAnsi="Maiandra GD"/>
        </w:rPr>
        <w:t>Cengage</w:t>
      </w:r>
      <w:proofErr w:type="spellEnd"/>
      <w:r w:rsidR="00731F7A" w:rsidRPr="00731F7A">
        <w:rPr>
          <w:rFonts w:ascii="Maiandra GD" w:hAnsi="Maiandra GD"/>
        </w:rPr>
        <w:t xml:space="preserve"> Learning. Boston. 2009. 49.    </w:t>
      </w:r>
    </w:p>
    <w:p w:rsidR="00731F7A" w:rsidRDefault="00731F7A" w:rsidP="00731F7A">
      <w:pPr>
        <w:rPr>
          <w:rFonts w:ascii="Maiandra GD" w:hAnsi="Maiandra GD"/>
        </w:rPr>
      </w:pPr>
    </w:p>
    <w:p w:rsidR="00731F7A" w:rsidRPr="00731F7A" w:rsidRDefault="002F3931" w:rsidP="00731F7A">
      <w:pPr>
        <w:rPr>
          <w:rFonts w:ascii="Maiandra GD" w:hAnsi="Maiandra GD"/>
        </w:rPr>
      </w:pPr>
      <w:r>
        <w:rPr>
          <w:rFonts w:ascii="Maiandra GD" w:hAnsi="Maiandra GD"/>
        </w:rPr>
        <w:t>*</w:t>
      </w:r>
      <w:r w:rsidR="00731F7A" w:rsidRPr="00731F7A">
        <w:rPr>
          <w:rFonts w:ascii="Maiandra GD" w:hAnsi="Maiandra GD"/>
        </w:rPr>
        <w:t xml:space="preserve">Translated by Daniel V. Thompson Jr., Cennino Cennini, The Artist’s Handbook, (Il </w:t>
      </w:r>
      <w:proofErr w:type="spellStart"/>
      <w:r w:rsidR="00731F7A" w:rsidRPr="00731F7A">
        <w:rPr>
          <w:rFonts w:ascii="Maiandra GD" w:hAnsi="Maiandra GD"/>
        </w:rPr>
        <w:t>Libro</w:t>
      </w:r>
      <w:proofErr w:type="spellEnd"/>
      <w:r w:rsidR="00731F7A" w:rsidRPr="00731F7A">
        <w:rPr>
          <w:rFonts w:ascii="Maiandra GD" w:hAnsi="Maiandra GD"/>
        </w:rPr>
        <w:t xml:space="preserve"> </w:t>
      </w:r>
      <w:proofErr w:type="spellStart"/>
      <w:r w:rsidR="00731F7A" w:rsidRPr="00731F7A">
        <w:rPr>
          <w:rFonts w:ascii="Maiandra GD" w:hAnsi="Maiandra GD"/>
        </w:rPr>
        <w:t>dell’Arte</w:t>
      </w:r>
      <w:proofErr w:type="spellEnd"/>
      <w:r w:rsidR="00731F7A" w:rsidRPr="00731F7A">
        <w:rPr>
          <w:rFonts w:ascii="Maiandra GD" w:hAnsi="Maiandra GD"/>
        </w:rPr>
        <w:t>, (New York: Dover Publications, 1960; reprint of 1933 ed.), 14-15</w:t>
      </w:r>
    </w:p>
    <w:p w:rsidR="00731F7A" w:rsidRPr="00731F7A" w:rsidRDefault="00731F7A" w:rsidP="00731F7A">
      <w:pPr>
        <w:rPr>
          <w:rFonts w:ascii="Maiandra GD" w:hAnsi="Maiandra GD"/>
        </w:rPr>
      </w:pPr>
    </w:p>
    <w:p w:rsidR="0025150A" w:rsidRPr="00731F7A" w:rsidRDefault="0025150A" w:rsidP="00501461">
      <w:pPr>
        <w:rPr>
          <w:rFonts w:ascii="Maiandra GD" w:hAnsi="Maiandra GD"/>
        </w:rPr>
      </w:pPr>
    </w:p>
    <w:sectPr w:rsidR="0025150A" w:rsidRPr="00731F7A" w:rsidSect="00646704">
      <w:headerReference w:type="default" r:id="rId7"/>
      <w:type w:val="continuous"/>
      <w:pgSz w:w="12240" w:h="15840" w:code="1"/>
      <w:pgMar w:top="720" w:right="720" w:bottom="720" w:left="720" w:header="720" w:footer="720" w:gutter="0"/>
      <w:paperSrc w:first="15" w:other="15"/>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DB9" w:rsidRDefault="00583DB9" w:rsidP="00FD2DDA">
      <w:r>
        <w:separator/>
      </w:r>
    </w:p>
  </w:endnote>
  <w:endnote w:type="continuationSeparator" w:id="0">
    <w:p w:rsidR="00583DB9" w:rsidRDefault="00583DB9" w:rsidP="00FD2DD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oadway">
    <w:altName w:val="Broadway"/>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DB9" w:rsidRDefault="00583DB9" w:rsidP="00FD2DDA">
      <w:r>
        <w:separator/>
      </w:r>
    </w:p>
  </w:footnote>
  <w:footnote w:type="continuationSeparator" w:id="0">
    <w:p w:rsidR="00583DB9" w:rsidRDefault="00583DB9" w:rsidP="00FD2D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D5F" w:rsidRPr="00EE1EB0" w:rsidRDefault="004B21DF" w:rsidP="00EE1EB0">
    <w:pPr>
      <w:pStyle w:val="Header"/>
      <w:pBdr>
        <w:bottom w:val="thickThinSmallGap" w:sz="24" w:space="1" w:color="622423" w:themeColor="accent2" w:themeShade="7F"/>
      </w:pBdr>
      <w:jc w:val="center"/>
      <w:rPr>
        <w:rFonts w:ascii="Maiandra GD" w:eastAsiaTheme="majorEastAsia" w:hAnsi="Maiandra GD" w:cstheme="majorBidi"/>
        <w:sz w:val="32"/>
        <w:szCs w:val="32"/>
      </w:rPr>
    </w:pPr>
    <w:sdt>
      <w:sdtPr>
        <w:rPr>
          <w:rFonts w:ascii="Maiandra GD" w:eastAsiaTheme="majorEastAsia" w:hAnsi="Maiandra GD" w:cstheme="majorBidi"/>
          <w:sz w:val="32"/>
          <w:szCs w:val="32"/>
        </w:rPr>
        <w:alias w:val="Title"/>
        <w:id w:val="5658177"/>
        <w:placeholder>
          <w:docPart w:val="0A98A55CCDCA46A9ABCD6C17DCF6BA05"/>
        </w:placeholder>
        <w:dataBinding w:prefixMappings="xmlns:ns0='http://schemas.openxmlformats.org/package/2006/metadata/core-properties' xmlns:ns1='http://purl.org/dc/elements/1.1/'" w:xpath="/ns0:coreProperties[1]/ns1:title[1]" w:storeItemID="{6C3C8BC8-F283-45AE-878A-BAB7291924A1}"/>
        <w:text/>
      </w:sdtPr>
      <w:sdtContent>
        <w:r w:rsidR="00FD2DDA" w:rsidRPr="00BD2B36">
          <w:rPr>
            <w:rFonts w:ascii="Maiandra GD" w:eastAsiaTheme="majorEastAsia" w:hAnsi="Maiandra GD" w:cstheme="majorBidi"/>
            <w:sz w:val="32"/>
            <w:szCs w:val="32"/>
          </w:rPr>
          <w:t>AP Art History</w:t>
        </w:r>
        <w:r w:rsidR="00EE1EB0">
          <w:rPr>
            <w:rFonts w:ascii="Maiandra GD" w:eastAsiaTheme="majorEastAsia" w:hAnsi="Maiandra GD" w:cstheme="majorBidi"/>
            <w:sz w:val="32"/>
            <w:szCs w:val="32"/>
          </w:rPr>
          <w:t>,</w:t>
        </w:r>
        <w:r w:rsidR="00FD2DDA" w:rsidRPr="00BD2B36">
          <w:rPr>
            <w:rFonts w:ascii="Maiandra GD" w:eastAsiaTheme="majorEastAsia" w:hAnsi="Maiandra GD" w:cstheme="majorBidi"/>
            <w:sz w:val="32"/>
            <w:szCs w:val="32"/>
          </w:rPr>
          <w:t xml:space="preserve"> Denver School of the Arts, 2010-2011</w:t>
        </w:r>
        <w:r w:rsidR="00BD2B36">
          <w:rPr>
            <w:rFonts w:ascii="Maiandra GD" w:eastAsiaTheme="majorEastAsia" w:hAnsi="Maiandra GD" w:cstheme="majorBidi"/>
            <w:sz w:val="32"/>
            <w:szCs w:val="32"/>
          </w:rPr>
          <w:t>, Ms. Clemmer</w: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3014F"/>
    <w:multiLevelType w:val="hybridMultilevel"/>
    <w:tmpl w:val="E152A58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1E1C39"/>
    <w:multiLevelType w:val="hybridMultilevel"/>
    <w:tmpl w:val="21BA422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8665DCE"/>
    <w:multiLevelType w:val="hybridMultilevel"/>
    <w:tmpl w:val="A4E0C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003A55"/>
    <w:multiLevelType w:val="hybridMultilevel"/>
    <w:tmpl w:val="8372337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133F85"/>
    <w:multiLevelType w:val="hybridMultilevel"/>
    <w:tmpl w:val="33DAA32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EC77CDA"/>
    <w:multiLevelType w:val="hybridMultilevel"/>
    <w:tmpl w:val="2E166500"/>
    <w:lvl w:ilvl="0" w:tplc="7204901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F51477"/>
    <w:multiLevelType w:val="hybridMultilevel"/>
    <w:tmpl w:val="FABC8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436D56"/>
    <w:multiLevelType w:val="hybridMultilevel"/>
    <w:tmpl w:val="20387D52"/>
    <w:lvl w:ilvl="0" w:tplc="113EB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8BD25C7"/>
    <w:multiLevelType w:val="hybridMultilevel"/>
    <w:tmpl w:val="F200799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3F444C5"/>
    <w:multiLevelType w:val="hybridMultilevel"/>
    <w:tmpl w:val="55947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AE2F5E"/>
    <w:multiLevelType w:val="hybridMultilevel"/>
    <w:tmpl w:val="55947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275BE0"/>
    <w:multiLevelType w:val="hybridMultilevel"/>
    <w:tmpl w:val="B1E42C2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8912DB"/>
    <w:multiLevelType w:val="hybridMultilevel"/>
    <w:tmpl w:val="37BCAB70"/>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011BAC"/>
    <w:multiLevelType w:val="hybridMultilevel"/>
    <w:tmpl w:val="A4EED142"/>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65EB30E3"/>
    <w:multiLevelType w:val="hybridMultilevel"/>
    <w:tmpl w:val="3D6A80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FE5E21"/>
    <w:multiLevelType w:val="hybridMultilevel"/>
    <w:tmpl w:val="B858B8C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FCA414A"/>
    <w:multiLevelType w:val="hybridMultilevel"/>
    <w:tmpl w:val="3808DDB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8"/>
  </w:num>
  <w:num w:numId="3">
    <w:abstractNumId w:val="4"/>
  </w:num>
  <w:num w:numId="4">
    <w:abstractNumId w:val="6"/>
  </w:num>
  <w:num w:numId="5">
    <w:abstractNumId w:val="2"/>
  </w:num>
  <w:num w:numId="6">
    <w:abstractNumId w:val="11"/>
  </w:num>
  <w:num w:numId="7">
    <w:abstractNumId w:val="1"/>
  </w:num>
  <w:num w:numId="8">
    <w:abstractNumId w:val="3"/>
  </w:num>
  <w:num w:numId="9">
    <w:abstractNumId w:val="16"/>
  </w:num>
  <w:num w:numId="10">
    <w:abstractNumId w:val="0"/>
  </w:num>
  <w:num w:numId="11">
    <w:abstractNumId w:val="10"/>
  </w:num>
  <w:num w:numId="12">
    <w:abstractNumId w:val="9"/>
  </w:num>
  <w:num w:numId="13">
    <w:abstractNumId w:val="12"/>
  </w:num>
  <w:num w:numId="14">
    <w:abstractNumId w:val="13"/>
  </w:num>
  <w:num w:numId="15">
    <w:abstractNumId w:val="14"/>
  </w:num>
  <w:num w:numId="16">
    <w:abstractNumId w:val="15"/>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rawingGridVerticalSpacing w:val="136"/>
  <w:displayHorizontalDrawingGridEvery w:val="2"/>
  <w:displayVerticalDrawingGridEvery w:val="2"/>
  <w:characterSpacingControl w:val="doNotCompress"/>
  <w:hdrShapeDefaults>
    <o:shapedefaults v:ext="edit" spidmax="30722"/>
  </w:hdrShapeDefaults>
  <w:footnotePr>
    <w:footnote w:id="-1"/>
    <w:footnote w:id="0"/>
  </w:footnotePr>
  <w:endnotePr>
    <w:endnote w:id="-1"/>
    <w:endnote w:id="0"/>
  </w:endnotePr>
  <w:compat/>
  <w:rsids>
    <w:rsidRoot w:val="00FD2DDA"/>
    <w:rsid w:val="000E21D8"/>
    <w:rsid w:val="000F032B"/>
    <w:rsid w:val="000F0D68"/>
    <w:rsid w:val="00126928"/>
    <w:rsid w:val="00166955"/>
    <w:rsid w:val="001854B2"/>
    <w:rsid w:val="002148E3"/>
    <w:rsid w:val="00245B33"/>
    <w:rsid w:val="0025150A"/>
    <w:rsid w:val="002619FC"/>
    <w:rsid w:val="002D2BEB"/>
    <w:rsid w:val="002F3931"/>
    <w:rsid w:val="003A4A78"/>
    <w:rsid w:val="00405A23"/>
    <w:rsid w:val="004061E2"/>
    <w:rsid w:val="00440E9B"/>
    <w:rsid w:val="00441BDA"/>
    <w:rsid w:val="004B21DF"/>
    <w:rsid w:val="004F282D"/>
    <w:rsid w:val="00501461"/>
    <w:rsid w:val="005436DD"/>
    <w:rsid w:val="00550BF3"/>
    <w:rsid w:val="00583DB9"/>
    <w:rsid w:val="005B6CE7"/>
    <w:rsid w:val="00646704"/>
    <w:rsid w:val="006D1302"/>
    <w:rsid w:val="006F5BFB"/>
    <w:rsid w:val="006F5FF4"/>
    <w:rsid w:val="00731F7A"/>
    <w:rsid w:val="0073798C"/>
    <w:rsid w:val="00795ED8"/>
    <w:rsid w:val="007F6359"/>
    <w:rsid w:val="00860406"/>
    <w:rsid w:val="008856D1"/>
    <w:rsid w:val="008B2C49"/>
    <w:rsid w:val="00957D5F"/>
    <w:rsid w:val="00981E9A"/>
    <w:rsid w:val="00992AB3"/>
    <w:rsid w:val="00A548E6"/>
    <w:rsid w:val="00A60F52"/>
    <w:rsid w:val="00B41AE0"/>
    <w:rsid w:val="00BA33B3"/>
    <w:rsid w:val="00BA5398"/>
    <w:rsid w:val="00BD2B36"/>
    <w:rsid w:val="00C077A0"/>
    <w:rsid w:val="00C93596"/>
    <w:rsid w:val="00CE2B25"/>
    <w:rsid w:val="00CE7609"/>
    <w:rsid w:val="00CF3B61"/>
    <w:rsid w:val="00D34010"/>
    <w:rsid w:val="00DB1287"/>
    <w:rsid w:val="00E70BA9"/>
    <w:rsid w:val="00EE1EB0"/>
    <w:rsid w:val="00FD2D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D2DDA"/>
    <w:pPr>
      <w:autoSpaceDE w:val="0"/>
      <w:autoSpaceDN w:val="0"/>
      <w:adjustRightInd w:val="0"/>
    </w:pPr>
    <w:rPr>
      <w:rFonts w:ascii="Broadway" w:hAnsi="Broadway" w:cs="Broadway"/>
      <w:color w:val="000000"/>
      <w:sz w:val="24"/>
      <w:szCs w:val="24"/>
    </w:rPr>
  </w:style>
  <w:style w:type="paragraph" w:styleId="Header">
    <w:name w:val="header"/>
    <w:basedOn w:val="Normal"/>
    <w:link w:val="HeaderChar"/>
    <w:uiPriority w:val="99"/>
    <w:unhideWhenUsed/>
    <w:rsid w:val="00FD2DDA"/>
    <w:pPr>
      <w:tabs>
        <w:tab w:val="center" w:pos="4680"/>
        <w:tab w:val="right" w:pos="9360"/>
      </w:tabs>
    </w:pPr>
  </w:style>
  <w:style w:type="character" w:customStyle="1" w:styleId="HeaderChar">
    <w:name w:val="Header Char"/>
    <w:basedOn w:val="DefaultParagraphFont"/>
    <w:link w:val="Header"/>
    <w:uiPriority w:val="99"/>
    <w:rsid w:val="00FD2DDA"/>
  </w:style>
  <w:style w:type="paragraph" w:styleId="Footer">
    <w:name w:val="footer"/>
    <w:basedOn w:val="Normal"/>
    <w:link w:val="FooterChar"/>
    <w:uiPriority w:val="99"/>
    <w:semiHidden/>
    <w:unhideWhenUsed/>
    <w:rsid w:val="00FD2DDA"/>
    <w:pPr>
      <w:tabs>
        <w:tab w:val="center" w:pos="4680"/>
        <w:tab w:val="right" w:pos="9360"/>
      </w:tabs>
    </w:pPr>
  </w:style>
  <w:style w:type="character" w:customStyle="1" w:styleId="FooterChar">
    <w:name w:val="Footer Char"/>
    <w:basedOn w:val="DefaultParagraphFont"/>
    <w:link w:val="Footer"/>
    <w:uiPriority w:val="99"/>
    <w:semiHidden/>
    <w:rsid w:val="00FD2DDA"/>
  </w:style>
  <w:style w:type="paragraph" w:styleId="BalloonText">
    <w:name w:val="Balloon Text"/>
    <w:basedOn w:val="Normal"/>
    <w:link w:val="BalloonTextChar"/>
    <w:uiPriority w:val="99"/>
    <w:semiHidden/>
    <w:unhideWhenUsed/>
    <w:rsid w:val="00FD2DDA"/>
    <w:rPr>
      <w:rFonts w:ascii="Tahoma" w:hAnsi="Tahoma" w:cs="Tahoma"/>
      <w:sz w:val="16"/>
      <w:szCs w:val="16"/>
    </w:rPr>
  </w:style>
  <w:style w:type="character" w:customStyle="1" w:styleId="BalloonTextChar">
    <w:name w:val="Balloon Text Char"/>
    <w:basedOn w:val="DefaultParagraphFont"/>
    <w:link w:val="BalloonText"/>
    <w:uiPriority w:val="99"/>
    <w:semiHidden/>
    <w:rsid w:val="00FD2DDA"/>
    <w:rPr>
      <w:rFonts w:ascii="Tahoma" w:hAnsi="Tahoma" w:cs="Tahoma"/>
      <w:sz w:val="16"/>
      <w:szCs w:val="16"/>
    </w:rPr>
  </w:style>
  <w:style w:type="paragraph" w:styleId="ListParagraph">
    <w:name w:val="List Paragraph"/>
    <w:basedOn w:val="Normal"/>
    <w:uiPriority w:val="34"/>
    <w:qFormat/>
    <w:rsid w:val="00245B33"/>
    <w:pPr>
      <w:ind w:left="720"/>
      <w:contextualSpacing/>
    </w:pPr>
  </w:style>
  <w:style w:type="table" w:styleId="TableGrid">
    <w:name w:val="Table Grid"/>
    <w:basedOn w:val="TableNormal"/>
    <w:uiPriority w:val="59"/>
    <w:rsid w:val="002148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212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A98A55CCDCA46A9ABCD6C17DCF6BA05"/>
        <w:category>
          <w:name w:val="General"/>
          <w:gallery w:val="placeholder"/>
        </w:category>
        <w:types>
          <w:type w:val="bbPlcHdr"/>
        </w:types>
        <w:behaviors>
          <w:behavior w:val="content"/>
        </w:behaviors>
        <w:guid w:val="{8E298AF0-8E44-43A1-8BD3-2EEE6EC3BEF3}"/>
      </w:docPartPr>
      <w:docPartBody>
        <w:p w:rsidR="00970887" w:rsidRDefault="002A288F" w:rsidP="002A288F">
          <w:pPr>
            <w:pStyle w:val="0A98A55CCDCA46A9ABCD6C17DCF6BA0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oadway">
    <w:altName w:val="Broadway"/>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A288F"/>
    <w:rsid w:val="00181213"/>
    <w:rsid w:val="001C3729"/>
    <w:rsid w:val="002A288F"/>
    <w:rsid w:val="003A3057"/>
    <w:rsid w:val="004957F3"/>
    <w:rsid w:val="00602B10"/>
    <w:rsid w:val="007A30B2"/>
    <w:rsid w:val="007F6CF0"/>
    <w:rsid w:val="00970887"/>
    <w:rsid w:val="00C82B09"/>
    <w:rsid w:val="00DA3B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8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98A55CCDCA46A9ABCD6C17DCF6BA05">
    <w:name w:val="0A98A55CCDCA46A9ABCD6C17DCF6BA05"/>
    <w:rsid w:val="002A288F"/>
  </w:style>
  <w:style w:type="paragraph" w:customStyle="1" w:styleId="17A72C06DE37459B8F66170E42B89990">
    <w:name w:val="17A72C06DE37459B8F66170E42B89990"/>
    <w:rsid w:val="002A288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542</Words>
  <Characters>3091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AP Art History, Denver School of the Arts, 2010-2011, Ms. Clemmer</vt:lpstr>
    </vt:vector>
  </TitlesOfParts>
  <Company/>
  <LinksUpToDate>false</LinksUpToDate>
  <CharactersWithSpaces>3626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Art History, Denver School of the Arts, 2010-2011, Ms. Clemmer</dc:title>
  <dc:creator>Louise Clemmer</dc:creator>
  <cp:lastModifiedBy>Louise Clemmer</cp:lastModifiedBy>
  <cp:revision>2</cp:revision>
  <dcterms:created xsi:type="dcterms:W3CDTF">2011-02-06T00:49:00Z</dcterms:created>
  <dcterms:modified xsi:type="dcterms:W3CDTF">2011-02-06T00:49:00Z</dcterms:modified>
</cp:coreProperties>
</file>